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styles.xml" ContentType="application/vnd.openxmlformats-officedocument.wordprocessingml.styles+xml"/>
</Types>
</file>

<file path=_rels/.rels>&#65279;<?xml version="1.0" encoding="utf-8"?><Relationships xmlns="http://schemas.openxmlformats.org/package/2006/relationships"><Relationship Type="http://schemas.openxmlformats.org/officeDocument/2006/relationships/officeDocument" Target="/word/document.xml" Id="R9a0ccaeda0534528" /></Relationships>
</file>

<file path=word/document.xml><?xml version="1.0" encoding="utf-8"?>
<w:document xmlns:w="http://schemas.openxmlformats.org/wordprocessingml/2006/main">
  <w:body>
    <w:tbl>
      <w:tblPr>
        <w:tblW w:w="9000" w:type="dxa"/>
        <w:tblBorders>
          <w:top w:val="nil"/>
          <w:bottom w:val="nil"/>
          <w:left w:val="nil"/>
          <w:right w:val="nil"/>
          <w:insideH w:val="nil"/>
          <w:insideV w:val="nil"/>
        </w:tblBorders>
        <w:tblCellSpacing w:w="60" w:type="dxa"/>
        <w:shd w:val="clear" w:color="auto" w:fill="E7F0F9"/>
      </w:tblPr>
      <w:tblGrid>
        <w:gridCol w:w="1200"/>
        <w:gridCol w:w="4500"/>
      </w:tblGrid>
      <w:tr>
        <w:tc>
          <w:tcPr>
            <w:tcW w:w="1200" w:type="pct"/>
            <w:shd w:val="clear" w:color="auto" w:fill="E7F0F9"/>
          </w:tcPr>
          <w:p>
            <w:pPr>
              <w:spacing w:before="0" w:after="0" w:line="240" w:lineRule="auto"/>
              <w:jc w:val="left"/>
            </w:pPr>
            <w:r>
              <w:rPr>
                <w:b/>
              </w:rPr>
              <w:t xml:space="preserve">RKP broj</w:t>
            </w:r>
          </w:p>
        </w:tc>
        <w:tc>
          <w:tcPr>
            <w:shd w:val="clear" w:color="auto" w:fill="E7F0F9"/>
          </w:tcPr>
          <w:p>
            <w:pPr>
              <w:spacing w:before="0" w:after="0" w:line="240" w:lineRule="auto"/>
              <w:jc w:val="left"/>
            </w:pPr>
            <w:r>
              <w:t xml:space="preserve">28080</w:t>
            </w:r>
          </w:p>
        </w:tc>
      </w:tr>
      <w:tr>
        <w:tc>
          <w:tcPr>
            <w:tcW w:w="1200" w:type="pct"/>
            <w:shd w:val="clear" w:color="auto" w:fill="E7F0F9"/>
          </w:tcPr>
          <w:p>
            <w:pPr>
              <w:spacing w:before="0" w:after="0" w:line="240" w:lineRule="auto"/>
              <w:jc w:val="left"/>
            </w:pPr>
            <w:r>
              <w:rPr>
                <w:b/>
              </w:rPr>
              <w:t xml:space="preserve">Naziv obveznika</w:t>
            </w:r>
          </w:p>
        </w:tc>
        <w:tc>
          <w:tcPr>
            <w:shd w:val="clear" w:color="auto" w:fill="E7F0F9"/>
          </w:tcPr>
          <w:p>
            <w:pPr>
              <w:spacing w:before="0" w:after="0" w:line="240" w:lineRule="auto"/>
              <w:jc w:val="left"/>
            </w:pPr>
            <w:r>
              <w:t xml:space="preserve">OPĆINA LEGRAD</w:t>
            </w:r>
          </w:p>
        </w:tc>
      </w:tr>
      <w:tr>
        <w:tc>
          <w:tcPr>
            <w:tcW w:w="1200" w:type="pct"/>
            <w:shd w:val="clear" w:color="auto" w:fill="E7F0F9"/>
          </w:tcPr>
          <w:p>
            <w:pPr>
              <w:spacing w:before="0" w:after="0" w:line="240" w:lineRule="auto"/>
              <w:jc w:val="left"/>
            </w:pPr>
            <w:r>
              <w:rPr>
                <w:b/>
              </w:rPr>
              <w:t xml:space="preserve">Razina</w:t>
            </w:r>
          </w:p>
        </w:tc>
        <w:tc>
          <w:tcPr>
            <w:shd w:val="clear" w:color="auto" w:fill="E7F0F9"/>
          </w:tcPr>
          <w:p>
            <w:pPr>
              <w:spacing w:before="0" w:after="0" w:line="240" w:lineRule="auto"/>
              <w:jc w:val="left"/>
            </w:pPr>
            <w:r>
              <w:t xml:space="preserve">22</w:t>
            </w:r>
          </w:p>
        </w:tc>
      </w:tr>
    </w:tbl>
    <w:p>
      <w:r>
        <w:br/>
      </w:r>
    </w:p>
    <w:p>
      <w:pPr>
        <w:jc w:val="center"/>
        <w:pStyle w:val="Normal"/>
        <w:spacing w:line="240" w:lineRule="auto"/>
      </w:pPr>
      <w:r>
        <w:rPr>
          <w:b/>
          <w:sz w:val="28"/>
          <w:rFonts w:ascii="Times New Roman" w:hAnsi="Times New Roman"/>
        </w:rPr>
        <w:t>BILJEŠKE UZ FINANCIJSKE IZVJEŠTAJE</w:t>
      </w:r>
    </w:p>
    <w:p>
      <w:pPr>
        <w:jc w:val="center"/>
        <w:pStyle w:val="Normal"/>
        <w:spacing w:line="240" w:lineRule="auto"/>
      </w:pPr>
      <w:r>
        <w:rPr>
          <w:b/>
          <w:sz w:val="28"/>
          <w:rFonts w:ascii="Times New Roman" w:hAnsi="Times New Roman"/>
        </w:rPr>
        <w:t>ZA RAZDOBLJE</w:t>
      </w:r>
    </w:p>
    <w:p>
      <w:pPr>
        <w:jc w:val="center"/>
        <w:pStyle w:val="Normal"/>
        <w:spacing w:line="240" w:lineRule="auto"/>
      </w:pPr>
      <w:r>
        <w:rPr>
          <w:b/>
          <w:sz w:val="28"/>
          <w:rFonts w:ascii="Times New Roman" w:hAnsi="Times New Roman"/>
        </w:rPr>
        <w:t>I - VI 2025.</w:t>
      </w:r>
    </w:p>
    <w:p/>
    <w:p>
      <w:pPr>
        <w:jc w:val="center"/>
        <w:pStyle w:val="Normal"/>
        <w:spacing w:line="240" w:lineRule="auto"/>
        <w:keepNext/>
      </w:pPr>
      <w:r>
        <w:rPr>
          <w:b/>
          <w:sz w:val="28"/>
          <w:rFonts w:ascii="Times New Roman" w:hAnsi="Times New Roman"/>
        </w:rPr>
        <w:t>Izvještaj o prihodima i rashodima, primicima i izdacima</w:t>
      </w:r>
    </w:p>
    <w:p>
      <w:pPr>
        <w:jc w:val="center"/>
        <w:pStyle w:val="Normal"/>
        <w:spacing w:line="240" w:lineRule="auto"/>
        <w:keepNext/>
      </w:pPr>
      <w:r>
        <w:rPr>
          <w:sz w:val="28"/>
          <w:rFonts w:ascii="Times New Roman" w:hAnsi="Times New Roman"/>
        </w:rPr>
        <w:t>Bilješka 1.</w:t>
      </w:r>
    </w:p>
    <w:tbl>
      <w:tblPr>
        <w:tblBorders>
          <w:top w:val="single" w:color="BABABA" w:sz="12"/>
          <w:bottom w:val="single" w:color="BABABA" w:sz="12"/>
          <w:left w:val="single" w:color="BABABA" w:sz="12"/>
          <w:right w:val="single" w:color="BABABA" w:sz="12"/>
          <w:insideH w:val="single" w:color="BABABA" w:sz="8"/>
          <w:insideV w:val="single" w:color="DADADA" w:sz="8"/>
        </w:tblBorders>
        <w:tblW w:w="0" w:type="auto"/>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PRIHODI POSLOVANJA (šifre 61+62+63+64+65+66+67+68)</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749.161,66</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874.410,73</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116,7</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RASHODI POSLOVANJA (šifre 31+32+34+35+36+37+38) </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557.450,86</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736.847,69</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132,2</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 </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VIŠAK PRIHODA POSLOVANJA (šifre 6-Z005) </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X001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191.710,80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137.563,04</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71,8</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7</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Prihodi od prodaje nefinancijske imovine (šifre 71+72+73+74)</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7</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293.518,08</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151.629,00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51,7</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4</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Rashodi za nabavu nefinancijske imovine (šifre 41+42+43+44+45)</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4</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432.293,48</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93.476,52</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21,6</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 </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VIŠAK PRIHODA OD NEFINANCIJSKE IMOVINE (šifre 7-4)</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X002</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58.152,48</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8</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Primici od financijske imovine i zaduživanja (šifre 81+82+83+84+85)</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8</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75.024,85</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0</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5</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Izdaci za financijsku imovinu i otplate zajmova (šifre 51+52+53+54+55)</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5</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89.108,48</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123.729,08</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138,9</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 </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MANJAK PRIMITAKA OD FINANCIJSKE IMOVINE I ZADUŽIVANJA (šifre 5-8)</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Y003</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14.083,63</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123.729,08</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878,5</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 </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VIŠAK PRIHODA I PRIMITAKA (šifre X678-Y345)</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X005</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38.851,77</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71.986,44</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185,3</w:t>
            </w:r>
          </w:p>
        </w:tc>
      </w:tr>
    </w:tbl>
    <w:p>
      <w:pPr>
        <w:spacing w:before="0" w:after="0"/>
      </w:pPr>
    </w:p>
    <w:p>
      <w:pPr>
        <w:jc w:val="both"/>
        <w:pStyle w:val="Normal"/>
        <w:spacing w:line="240" w:lineRule="auto"/>
      </w:pPr>
      <w:r>
        <w:rPr>
          <w:sz w:val="24"/>
          <w:rFonts w:ascii="Times New Roman" w:hAnsi="Times New Roman"/>
        </w:rPr>
        <w:t>U izvještajnom razdoblju višak prihoda i rashoda poslovanja iznosi 137.563,04 eura, višak prihoda od nefinancijske imovine iznosi 58.152,48 eura te manjak primitaka od financijske imovine iznosi 123.729,08 eura. Ukupni višak prihoda i primitaka za razdoblje od 1.1.-30.6.2025. godine iznosi 71.986,44 eura. Višak prihoda i primitaka odnosi se na povrat troškova za rashode izgradnje dječjeg vrtića koji su nastali u 2024. godini, a zadnji povrat po predanim ZNS-ovima bilježimo u 2025. godini. Prenesi manjak prihoda i primitaka iz prethodnih razdoblja iznosi 167.843,72 eura te manjak na kraju izvještajnog razdoblja iznosi 95.857,28 eura.</w:t>
      </w:r>
    </w:p>
    <w:p>
      <w:r>
        <w:br/>
      </w:r>
    </w:p>
    <w:p>
      <w:pPr>
        <w:jc w:val="center"/>
        <w:pStyle w:val="Normal"/>
        <w:spacing w:line="240" w:lineRule="auto"/>
        <w:keepNext/>
      </w:pPr>
      <w:r>
        <w:rPr>
          <w:sz w:val="28"/>
          <w:rFonts w:ascii="Times New Roman" w:hAnsi="Times New Roman"/>
        </w:rPr>
        <w:t>Bilješka 2.</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61</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Prihodi od poreza (šifre 611+612+613+614+615+616)</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333.839,79</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314.343,15</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94,2</w:t>
            </w:r>
          </w:p>
        </w:tc>
      </w:tr>
    </w:tbl>
    <w:p>
      <w:pPr>
        <w:spacing w:before="0" w:after="0"/>
      </w:pPr>
    </w:p>
    <w:p>
      <w:pPr>
        <w:jc w:val="both"/>
        <w:pStyle w:val="Normal"/>
        <w:spacing w:line="240" w:lineRule="auto"/>
      </w:pPr>
      <w:r>
        <w:rPr>
          <w:sz w:val="24"/>
          <w:rFonts w:ascii="Times New Roman" w:hAnsi="Times New Roman"/>
        </w:rPr>
        <w:t>Prihodi od poreza (61)
	Ovaj prihod obuhvaća prihode od poreza na dohodak smanjenje istog prihoda u odnosu na isto izvještajno razdoblje,  poreza na kuće za odmor na Šoderici koji bilježi znatno smanjenje te je naplata samo za preostala dugovanja je se taj prihod se više neće razrezivati jer je u 2025. godini uveden novi prihod na nekretnine čije zaduženje još nije razrezano u 2025. godini. Poreza na promet nekretnina na koje prihode ne možemo utjecati koliko će biti ostvaren prihod te ovisi o kretnjama na tržištu te bilježi povećanje u odnosu na 2024. godinu dok porez na potrošnju bilježi smanjenje u odnosu na isti period prošle godine.
</w:t>
      </w:r>
    </w:p>
    <w:p/>
    <w:p>
      <w:pPr>
        <w:jc w:val="center"/>
        <w:pStyle w:val="Normal"/>
        <w:spacing w:line="240" w:lineRule="auto"/>
        <w:keepNext/>
      </w:pPr>
      <w:r>
        <w:rPr>
          <w:sz w:val="28"/>
          <w:rFonts w:ascii="Times New Roman" w:hAnsi="Times New Roman"/>
        </w:rPr>
        <w:t>Bilješka 3.</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63</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Pomoći iz inozemstva i od subjekata unutar općeg proračuna (šifre 631+632+633+634+635+636+637+638+639)</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63</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264.928,34</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376.379,11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142,1</w:t>
            </w:r>
          </w:p>
        </w:tc>
      </w:tr>
    </w:tbl>
    <w:p>
      <w:pPr>
        <w:spacing w:before="0" w:after="0"/>
      </w:pPr>
    </w:p>
    <w:p>
      <w:pPr>
        <w:jc w:val="both"/>
        <w:pStyle w:val="Normal"/>
        <w:spacing w:line="240" w:lineRule="auto"/>
      </w:pPr>
      <w:r>
        <w:rPr>
          <w:sz w:val="24"/>
          <w:rFonts w:ascii="Times New Roman" w:hAnsi="Times New Roman"/>
        </w:rPr>
        <w:t>Pomoći iz inozemstva i od subjekata unutar općeg proračuna (63)  
	Na kontu pomoći bilježi se povećanje u odnosu na 2024. godinu. Vidljivo je knjiženje na različitim kontima nego 2024. godine jer je uveden novi konto za knjiženje pomoći od fiskalnog izravnanja. Mjesečni iznos za isti prihod je povećan u odnosu na 2024. godinu te je 2025. godine proknjižena i cesija za financiranje vrtića sredstvima fiskalnog izravnanja dok je u 2024. godini za tromjesečno razdoblje bila proknjižena tijekom godine. Na pozicijama je vidljivo i knjiženje povrata za troškove zaposlenima koje Općina Drnje kao nositelj projekta Zaposli i pomozi II. isplaćuje na naš račun. Knjižene je i povrat sredstava NPO programa za projekat dogradnje vrtića kao zadnja isplaćena pomoć za rashode koji su nastali 2025. godine
</w:t>
      </w:r>
    </w:p>
    <w:p/>
    <w:p>
      <w:pPr>
        <w:jc w:val="center"/>
        <w:pStyle w:val="Normal"/>
        <w:spacing w:line="240" w:lineRule="auto"/>
        <w:keepNext/>
      </w:pPr>
      <w:r>
        <w:rPr>
          <w:sz w:val="28"/>
          <w:rFonts w:ascii="Times New Roman" w:hAnsi="Times New Roman"/>
        </w:rPr>
        <w:t>Bilješka 4.</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64</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Prihodi od imovine (šifre 641+642+643)</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64</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87.297,26</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121.266,64</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138,9</w:t>
            </w:r>
          </w:p>
        </w:tc>
      </w:tr>
    </w:tbl>
    <w:p>
      <w:pPr>
        <w:spacing w:before="0" w:after="0"/>
      </w:pPr>
    </w:p>
    <w:p>
      <w:pPr>
        <w:jc w:val="both"/>
        <w:pStyle w:val="Normal"/>
        <w:spacing w:line="240" w:lineRule="auto"/>
      </w:pPr>
      <w:r>
        <w:rPr>
          <w:sz w:val="24"/>
          <w:rFonts w:ascii="Times New Roman" w:hAnsi="Times New Roman"/>
        </w:rPr>
        <w:t>Prihodi od imovine (64)
Na ovoj poziciji došlo je do povećanja u odnosu na isto izvještajno razdoblje 2024. godine, povećanje se većim dijelom odnosi na naknadu za korištenje nefinancijske imovine jer su se u 2025. godini pojavili prihodi koje ranije nismo imali kao što su prihodi vezani za geotermalni projekt te prihodi od zakupa i to veći iznosi vezani uz površinu zakupa zemljišta. 
</w:t>
      </w:r>
    </w:p>
    <w:p/>
    <w:p>
      <w:pPr>
        <w:jc w:val="center"/>
        <w:pStyle w:val="Normal"/>
        <w:spacing w:line="240" w:lineRule="auto"/>
        <w:keepNext/>
      </w:pPr>
      <w:r>
        <w:rPr>
          <w:sz w:val="28"/>
          <w:rFonts w:ascii="Times New Roman" w:hAnsi="Times New Roman"/>
        </w:rPr>
        <w:t>Bilješka 5.</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65</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Prihodi od upravnih i administrativnih pristojbi, pristojbi po posebnim propisima i naknada (šifre 651+652+653+654)</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65</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60.564,38</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62.200,63</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102,7</w:t>
            </w:r>
          </w:p>
        </w:tc>
      </w:tr>
    </w:tbl>
    <w:p>
      <w:pPr>
        <w:spacing w:before="0" w:after="0"/>
      </w:pPr>
    </w:p>
    <w:p>
      <w:pPr>
        <w:jc w:val="both"/>
        <w:pStyle w:val="Normal"/>
        <w:spacing w:line="240" w:lineRule="auto"/>
      </w:pPr>
      <w:r>
        <w:rPr>
          <w:sz w:val="24"/>
          <w:rFonts w:ascii="Times New Roman" w:hAnsi="Times New Roman"/>
        </w:rPr>
        <w:t>Prihodi od upravnih i administrativnih pristojbi, pristojbi po posebnim propisima (65) 
	Kretnje na ovih prihodima bilježe smanjenje u odnosu na isto izvještajno razdoblje, te se većim dijelom odnose na smanjenje prihoda komunalni doprinosi koji ovisi o kretnjama na tržištu te prihod od komunalne naknade koji je smanjen na 59,30% u odnosu na 2024. godinu. Naplaćen je prihod dugovanja iz 2024. godine, a novi razrez još nije napravljen te će isti biti tijekom travnja. 
</w:t>
      </w:r>
    </w:p>
    <w:p/>
    <w:p>
      <w:pPr>
        <w:jc w:val="center"/>
        <w:pStyle w:val="Normal"/>
        <w:spacing w:line="240" w:lineRule="auto"/>
        <w:keepNext/>
      </w:pPr>
      <w:r>
        <w:rPr>
          <w:sz w:val="28"/>
          <w:rFonts w:ascii="Times New Roman" w:hAnsi="Times New Roman"/>
        </w:rPr>
        <w:t>Bilješka 6.</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31</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Rashodi za zaposlene (šifre 311+312+313)</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41.888,96</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96.722,62</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230,9</w:t>
            </w:r>
          </w:p>
        </w:tc>
      </w:tr>
    </w:tbl>
    <w:p>
      <w:pPr>
        <w:spacing w:before="0" w:after="0"/>
      </w:pPr>
    </w:p>
    <w:p>
      <w:pPr>
        <w:jc w:val="both"/>
        <w:pStyle w:val="Normal"/>
        <w:spacing w:line="240" w:lineRule="auto"/>
      </w:pPr>
      <w:r>
        <w:rPr>
          <w:sz w:val="24"/>
          <w:rFonts w:ascii="Times New Roman" w:hAnsi="Times New Roman"/>
        </w:rPr>
        <w:t>Rashodi za zaposlene (31) 
	Povećanje rashoda za zaposlene odnosi se na 7 zaposlenih žena preko projekta koji provodi Općina Legrad pod nazivom Zaposli i pomozi II. Iste nisu radile u izvještajnom razdoblju 2024. godine te iz toga proizlazi razlika. Broj zaposlenih u JUO se nije mijenjao. 
</w:t>
      </w:r>
    </w:p>
    <w:p/>
    <w:p>
      <w:pPr>
        <w:jc w:val="center"/>
        <w:pStyle w:val="Normal"/>
        <w:spacing w:line="240" w:lineRule="auto"/>
        <w:keepNext/>
      </w:pPr>
      <w:r>
        <w:rPr>
          <w:sz w:val="28"/>
          <w:rFonts w:ascii="Times New Roman" w:hAnsi="Times New Roman"/>
        </w:rPr>
        <w:t>Bilješka 7.</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32</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Materijalni rashodi (šifre 321+322+323+324+325+329)</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32</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345.048,42</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369.179,67</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107,0</w:t>
            </w:r>
          </w:p>
        </w:tc>
      </w:tr>
    </w:tbl>
    <w:p>
      <w:pPr>
        <w:spacing w:before="0" w:after="0"/>
      </w:pPr>
    </w:p>
    <w:p>
      <w:pPr>
        <w:jc w:val="both"/>
        <w:pStyle w:val="Normal"/>
        <w:spacing w:line="240" w:lineRule="auto"/>
      </w:pPr>
      <w:r>
        <w:rPr>
          <w:sz w:val="24"/>
          <w:rFonts w:ascii="Times New Roman" w:hAnsi="Times New Roman"/>
        </w:rPr>
        <w:t>Materijalni rashodi (32) 
Ova pozicija bilježi isti postotak kao i 2024. godine samo što je različito po pojedinim kontima. Povećanje bilježi pozicija za službenih putovanja zbog putovanja u inozemstvo koje u 2024. Godine u istom izvještajnom razdoblju nije bilo, povećanje pozicije za stručno usavršavanje jer je potreba veća za istim te su i cijene istih porasle, povećanje na kontu uredskog materijala i literature odnosi se na izdavanje monografije Legrad koja se prvi put izdaje te su zaprimljena 2 od 3 računa, povećanje se odnosi na usluge informiranja zbog većeg broja objava vezanih na provođenje javne nabave, na poziciji za intelektualne usluge pristigao je račun za geodetsko-katastarsku izmjeru Veliki Otok kojeg u 2024.godini u istom razdoblju nije bilo. Što se tiče ostalih usluga rashodi su povećani zbog provođenja lokalnih izbora. 
</w:t>
      </w:r>
    </w:p>
    <w:p/>
    <w:p>
      <w:pPr>
        <w:jc w:val="center"/>
        <w:pStyle w:val="Normal"/>
        <w:spacing w:line="240" w:lineRule="auto"/>
        <w:keepNext/>
      </w:pPr>
      <w:r>
        <w:rPr>
          <w:sz w:val="28"/>
          <w:rFonts w:ascii="Times New Roman" w:hAnsi="Times New Roman"/>
        </w:rPr>
        <w:t>Bilješka 8.</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34</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Financijski rashodi (šifre 341+342+343) </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34</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3.175,65</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7.390,60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232,7</w:t>
            </w:r>
          </w:p>
        </w:tc>
      </w:tr>
    </w:tbl>
    <w:p>
      <w:pPr>
        <w:spacing w:before="0" w:after="0"/>
      </w:pPr>
    </w:p>
    <w:p>
      <w:pPr>
        <w:jc w:val="both"/>
        <w:pStyle w:val="Normal"/>
        <w:spacing w:line="240" w:lineRule="auto"/>
      </w:pPr>
      <w:r>
        <w:rPr>
          <w:sz w:val="24"/>
          <w:rFonts w:ascii="Times New Roman" w:hAnsi="Times New Roman"/>
        </w:rPr>
        <w:t>     Financijski rashodi (34)
Povećanje na ovoj poziciji odnosi se na kamate na dugoročne kredite koje Općina Legrad ima. 
</w:t>
      </w:r>
    </w:p>
    <w:p/>
    <w:p>
      <w:pPr>
        <w:jc w:val="center"/>
        <w:pStyle w:val="Normal"/>
        <w:spacing w:line="240" w:lineRule="auto"/>
        <w:keepNext/>
      </w:pPr>
      <w:r>
        <w:rPr>
          <w:sz w:val="28"/>
          <w:rFonts w:ascii="Times New Roman" w:hAnsi="Times New Roman"/>
        </w:rPr>
        <w:t>Bilješka 9.</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36</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Pomoći dane u inozemstvo i unutar općeg proračuna (šifre 361+362+363+365+366+367+368+369)</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36</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65.890,90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158.279,90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240,2</w:t>
            </w:r>
          </w:p>
        </w:tc>
      </w:tr>
    </w:tbl>
    <w:p>
      <w:pPr>
        <w:spacing w:before="0" w:after="0"/>
      </w:pPr>
    </w:p>
    <w:p>
      <w:pPr>
        <w:jc w:val="both"/>
        <w:pStyle w:val="Normal"/>
        <w:spacing w:line="240" w:lineRule="auto"/>
      </w:pPr>
      <w:r>
        <w:rPr>
          <w:sz w:val="24"/>
          <w:rFonts w:ascii="Times New Roman" w:hAnsi="Times New Roman"/>
        </w:rPr>
        <w:t>           Pomoći dane u inozemstvo i unutar općeg proračuna (36) 
Na ovoj poziciji bilježimo veliko povećanje koje se odnosi na redovno financiranje Dječjeg vrtića Dabrić koji djeluje pod Dječjem vrtiću Vrapčić iz Đelekovca. Nakon dogradnje objekta za jednu skupinu jasličara povećanje se odnosi na troškove vezano za isto kao što su materijalni troškovi te za zapošljavanje novih odgojitelja te za usklađivanje plaća svih zaposlenih u ustanovi Dječjeg vrtića. 
</w:t>
      </w:r>
    </w:p>
    <w:p/>
    <w:p>
      <w:pPr>
        <w:jc w:val="center"/>
        <w:pStyle w:val="Normal"/>
        <w:spacing w:line="240" w:lineRule="auto"/>
        <w:keepNext/>
      </w:pPr>
      <w:r>
        <w:rPr>
          <w:sz w:val="28"/>
          <w:rFonts w:ascii="Times New Roman" w:hAnsi="Times New Roman"/>
        </w:rPr>
        <w:t>Bilješka 10.</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37</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Naknade građanima i kućanstvima na temelju osiguranja i druge naknade (šifre 371+372)</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37</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16.488,45</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32.067,74</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194,5</w:t>
            </w:r>
          </w:p>
        </w:tc>
      </w:tr>
    </w:tbl>
    <w:p>
      <w:pPr>
        <w:spacing w:before="0" w:after="0"/>
      </w:pPr>
    </w:p>
    <w:p>
      <w:pPr>
        <w:jc w:val="both"/>
        <w:pStyle w:val="Normal"/>
        <w:spacing w:line="240" w:lineRule="auto"/>
      </w:pPr>
      <w:r>
        <w:rPr>
          <w:sz w:val="24"/>
          <w:rFonts w:ascii="Times New Roman" w:hAnsi="Times New Roman"/>
        </w:rPr>
        <w:t>          Naknade građanima i kućanstvima na temelju osiguranja i druge naknade (37)
Ova pozicija bilježi veliko povećanje koje se odnose na poticaje za stambeno zbrinjavanje koje je teretilo 2024. godinu, a isplata je bila u prvom tromjesečju 2025. godine, te isplata potpore građanima na izradu projektne dokumentaciju po jednom zaprimljenom zahtjevu. Inače se po natječajima koji se provode isplate vrše krajem godine i zbog toga povećanje u ovom izvještajnom razdoblju. 
</w:t>
      </w:r>
    </w:p>
    <w:p/>
    <w:p>
      <w:pPr>
        <w:jc w:val="center"/>
        <w:pStyle w:val="Normal"/>
        <w:spacing w:line="240" w:lineRule="auto"/>
        <w:keepNext/>
      </w:pPr>
      <w:r>
        <w:rPr>
          <w:sz w:val="28"/>
          <w:rFonts w:ascii="Times New Roman" w:hAnsi="Times New Roman"/>
        </w:rPr>
        <w:t>Bilješka 11.</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38</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Rashodi za donacije, kazne, naknade šteta i kapitalne pomoći (šifre 381+382+383+386)</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38</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84.920,65</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73.207,16</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86,2</w:t>
            </w:r>
          </w:p>
        </w:tc>
      </w:tr>
    </w:tbl>
    <w:p>
      <w:pPr>
        <w:spacing w:before="0" w:after="0"/>
      </w:pPr>
    </w:p>
    <w:p>
      <w:pPr>
        <w:jc w:val="both"/>
        <w:pStyle w:val="Normal"/>
        <w:spacing w:line="240" w:lineRule="auto"/>
      </w:pPr>
      <w:r>
        <w:rPr>
          <w:sz w:val="24"/>
          <w:rFonts w:ascii="Times New Roman" w:hAnsi="Times New Roman"/>
        </w:rPr>
        <w:t>            Rashodi za donacije, kazne, naknade šteta i kapitalne pomoći (38) 
Smanjenje na ovoj poziciji odnosi se na različit način isplate tekućih i kapitalnih pomoći koje se svake godine vrši na različit način te ovisno o tome u kojem periodu udruge imaju svoje aktivnosti prema sklopljenim Ugovorima. U ovom izvještajnom razdoblju jedini rashod kojeg nije bilo prošle godine u ovom periodu je isplata nagrade za ostanak liječnika u našem kraju. 
</w:t>
      </w:r>
    </w:p>
    <w:p/>
    <w:p>
      <w:pPr>
        <w:jc w:val="center"/>
        <w:pStyle w:val="Normal"/>
        <w:spacing w:line="240" w:lineRule="auto"/>
        <w:keepNext/>
      </w:pPr>
      <w:r>
        <w:rPr>
          <w:sz w:val="28"/>
          <w:rFonts w:ascii="Times New Roman" w:hAnsi="Times New Roman"/>
        </w:rPr>
        <w:t>Bilješka 12.</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7</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Prihodi od prodaje nefinancijske imovine (šifre 71+72+73+74)</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7</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293.518,08</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151.629,00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51,7</w:t>
            </w:r>
          </w:p>
        </w:tc>
      </w:tr>
    </w:tbl>
    <w:p>
      <w:pPr>
        <w:spacing w:before="0" w:after="0"/>
      </w:pPr>
    </w:p>
    <w:p>
      <w:pPr>
        <w:jc w:val="both"/>
        <w:pStyle w:val="Normal"/>
        <w:spacing w:line="240" w:lineRule="auto"/>
      </w:pPr>
      <w:r>
        <w:rPr>
          <w:sz w:val="24"/>
          <w:rFonts w:ascii="Times New Roman" w:hAnsi="Times New Roman"/>
        </w:rPr>
        <w:t>	 Prihodi od prodaje nefinancijske imovine (7) 
	 Smanjenje na ovoj poziciji proizlazi iz razloga što je 2024. godine Općina Legrad vršila prodaju dodatnog zemljišta na TRC Šoderica u 2 provedena natječaja dok u 2025.godini takvih prihoda nije bilo. Između ostalog ostvareni prihod se odnosi na otplatu po sklopljenim Ugovorima od 2024. godine za kupnju parcela na TRC Šoderica, prihod za prodaju 2 gradilišta po Ugovorima iz 2024. godini s kraja godine za koje su izvršena plaćanja početkom siječnja, prodaju 1 gradilišta po novom natječaju na TRC Šoderica te polovicu prihoda čini prodaja poljoprivrednog zemljišta koje je izvršila Koprivničko-križevačka županija na našem području te Općini Legrad pripada dio tog prihoda
</w:t>
      </w:r>
    </w:p>
    <w:p/>
    <w:p>
      <w:pPr>
        <w:jc w:val="center"/>
        <w:pStyle w:val="Normal"/>
        <w:spacing w:line="240" w:lineRule="auto"/>
        <w:keepNext/>
      </w:pPr>
      <w:r>
        <w:rPr>
          <w:sz w:val="28"/>
          <w:rFonts w:ascii="Times New Roman" w:hAnsi="Times New Roman"/>
        </w:rPr>
        <w:t>Bilješka 13.</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4</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Rashodi za nabavu nefinancijske imovine (šifre 41+42+43+44+45)</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4</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432.293,48</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93.476,52</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21,6</w:t>
            </w:r>
          </w:p>
        </w:tc>
      </w:tr>
    </w:tbl>
    <w:p>
      <w:pPr>
        <w:spacing w:before="0" w:after="0"/>
      </w:pPr>
    </w:p>
    <w:p>
      <w:pPr>
        <w:jc w:val="both"/>
        <w:pStyle w:val="Normal"/>
        <w:spacing w:line="240" w:lineRule="auto"/>
      </w:pPr>
      <w:r>
        <w:rPr>
          <w:sz w:val="24"/>
          <w:rFonts w:ascii="Times New Roman" w:hAnsi="Times New Roman"/>
        </w:rPr>
        <w:t>Rashodi za nabavu nefinancijske imovine  (4)
	Vezano uz ulaganja u nefinancijsku imovinu svaka je proračunska godina specifična, pa se javljaju veća i manja odstupanja unutar pozicija, iz razloga što za neka ulaganja u jednoj proračunskoj godini ima potreba dok u drugoj nema. Ulaganja se vrše sukladno potrebama utvrđenima proračunom.
Na ovim kontima bilježimo uglavnom smanjenja jer se u izvještajnom razdoblju nije spomenutih rashoda. U 2024. godini u istom izvještajnom razdoblju imali smo knjižene za veće investicije koje su bile u tijeku, a odnose se na dogradnju vrtića te obnovu prostorija Općine koje su u 2024. godini i završile. U prvoj polovici 2025. godini izrađivala se projektna dokumentacija, nabavila nova autobusna stanica za naselje Veliki Otok, dovršila ograda oko groblja u Velikom Otoku, nabavila robotska kosilica, postavila nova solarna rasvjeta na mjestima gdje nije bilo postavljenih bandera za rasvjetu, nabavljeno nešto uredske opreme te fotokopirni aparat. 
</w:t>
      </w:r>
    </w:p>
    <w:p/>
    <w:p>
      <w:pPr>
        <w:jc w:val="center"/>
        <w:pStyle w:val="Normal"/>
        <w:spacing w:line="240" w:lineRule="auto"/>
        <w:keepNext/>
      </w:pPr>
      <w:r>
        <w:rPr>
          <w:sz w:val="28"/>
          <w:rFonts w:ascii="Times New Roman" w:hAnsi="Times New Roman"/>
        </w:rPr>
        <w:t>Bilješka 14.</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8</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Primici od financijske imovine i zaduživanja (šifre 81+82+83+84+85)</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8</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75.024,85</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0</w:t>
            </w:r>
          </w:p>
        </w:tc>
      </w:tr>
    </w:tbl>
    <w:p>
      <w:pPr>
        <w:spacing w:before="0" w:after="0"/>
      </w:pPr>
    </w:p>
    <w:p>
      <w:pPr>
        <w:jc w:val="both"/>
        <w:pStyle w:val="Normal"/>
        <w:spacing w:line="240" w:lineRule="auto"/>
      </w:pPr>
      <w:r>
        <w:rPr>
          <w:sz w:val="24"/>
          <w:rFonts w:ascii="Times New Roman" w:hAnsi="Times New Roman"/>
        </w:rPr>
        <w:t>Primici od financijske imovine (8)
	 U 2025. godini nismo imali takvih primitaka dok smo 2024. godini imali prihode od kratkoročnog kredita koji smo povukli za plaćanje 2 računa. 
</w:t>
      </w:r>
    </w:p>
    <w:p/>
    <w:p>
      <w:pPr>
        <w:jc w:val="center"/>
        <w:pStyle w:val="Normal"/>
        <w:spacing w:line="240" w:lineRule="auto"/>
        <w:keepNext/>
      </w:pPr>
      <w:r>
        <w:rPr>
          <w:sz w:val="28"/>
          <w:rFonts w:ascii="Times New Roman" w:hAnsi="Times New Roman"/>
        </w:rPr>
        <w:t>Bilješka 15.</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5</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Izdaci za financijsku imovinu i otplate zajmova (šifre 51+52+53+54+55)</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5</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89.108,48</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123.729,08</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138,9</w:t>
            </w:r>
          </w:p>
        </w:tc>
      </w:tr>
    </w:tbl>
    <w:p>
      <w:pPr>
        <w:spacing w:before="0" w:after="0"/>
      </w:pPr>
    </w:p>
    <w:p>
      <w:pPr>
        <w:jc w:val="both"/>
        <w:pStyle w:val="Normal"/>
        <w:spacing w:line="240" w:lineRule="auto"/>
      </w:pPr>
      <w:r>
        <w:rPr>
          <w:sz w:val="24"/>
          <w:rFonts w:ascii="Times New Roman" w:hAnsi="Times New Roman"/>
        </w:rPr>
        <w:t>Izdaci za financijsku imovinu (5) 
       	Izdaci se odnose na otplatu dugoročnog kredita za koji smo dobili povrat sredstava od NPO za dogradnju vrtića, te na otplatu 5 mjesečnih rata za dugoročni kredit iz ranijih godina. 
</w:t>
      </w:r>
    </w:p>
    <w:p/>
    <w:p>
      <w:pPr>
        <w:jc w:val="center"/>
        <w:pStyle w:val="Normal"/>
        <w:spacing w:line="240" w:lineRule="auto"/>
        <w:keepNext/>
      </w:pPr>
      <w:r>
        <w:rPr>
          <w:b/>
          <w:sz w:val="28"/>
          <w:rFonts w:ascii="Times New Roman" w:hAnsi="Times New Roman"/>
        </w:rPr>
        <w:t>Izvještaj o obvezama</w:t>
      </w:r>
    </w:p>
    <w:p>
      <w:pPr>
        <w:jc w:val="center"/>
        <w:pStyle w:val="Normal"/>
        <w:spacing w:line="240" w:lineRule="auto"/>
        <w:keepNext/>
      </w:pPr>
      <w:r>
        <w:rPr>
          <w:sz w:val="28"/>
          <w:rFonts w:ascii="Times New Roman" w:hAnsi="Times New Roman"/>
        </w:rPr>
        <w:t>Bilješka 16.</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Iznos</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Stanje dospjelih obveza na kraju izvještajnog razdoblja (šifre V008+D23+D24 + 'D dio 25,26' + D27)</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V007</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50.705,37</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w:t>
            </w:r>
          </w:p>
        </w:tc>
      </w:tr>
    </w:tbl>
    <w:p>
      <w:pPr>
        <w:spacing w:before="0" w:after="0"/>
      </w:pPr>
    </w:p>
    <w:p>
      <w:pPr>
        <w:jc w:val="both"/>
        <w:pStyle w:val="Normal"/>
        <w:spacing w:line="240" w:lineRule="auto"/>
      </w:pPr>
      <w:r>
        <w:rPr>
          <w:sz w:val="24"/>
          <w:rFonts w:ascii="Times New Roman" w:hAnsi="Times New Roman"/>
        </w:rPr>
        <w:t>Obveze Općine Legrad na dan 30.6.2025. godine iznosi 650.755,24 eura, nedospjele obveze iznose 600.049,87 eura većim dijelom se odnose na obveze za 2 dugoročna kredita, jedan koji je u otplati i koji se redovno podmiruje te drugi koji će biti u obvezi u drugoj polovici 2025. godine. 	Dospjele obveze u iznosu od 50.705,37 eura odnose se  na veći račun za izdavanje monografije Legrada, obvezu za plaćanje računa za ogradu oko groblja u Velikom Otoku koji je izdan u mjesecu svibnju, za tekuće i investicijsko održavanje zelenih površina koji je također izdan u svibnju, te račun za priključenje na električnu energiju vezano za projekt izgradnje hostela. Čeka se model financiranja i mogućnost prijave tog projekta na EU fondove te će se samim time i sam priključak tek onda izraditi. </w:t>
      </w:r>
    </w:p>
    <w:p/>
  </w:body>
</w:document>
</file>

<file path=word/styles.xml><?xml version="1.0" encoding="utf-8"?>
<w:styles xmlns:w="http://schemas.openxmlformats.org/wordprocessingml/2006/main">
  <w:style w:type="paragraph" w:styleId="Normal" w:default="true">
    <w:name w:val="Normal"/>
    <w:rPr>
      <w:rFonts w:ascii="Times New Roman" w:hAnsi="Times New Roman"/>
      <w:sz w:val="24"/>
    </w:rPr>
  </w:style>
</w:styles>
</file>

<file path=word/_rels/document.xml.rels>&#65279;<?xml version="1.0" encoding="utf-8"?><Relationships xmlns="http://schemas.openxmlformats.org/package/2006/relationships"><Relationship Type="http://schemas.openxmlformats.org/officeDocument/2006/relationships/styles" Target="/word/styles.xml" Id="R5f1cb80c55a34650" /></Relationships>
</file>